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D1" w:rsidRPr="00E755D1" w:rsidRDefault="00365C5C" w:rsidP="00E755D1">
      <w:pPr>
        <w:shd w:val="clear" w:color="auto" w:fill="FFFFFF"/>
        <w:spacing w:after="0" w:line="360" w:lineRule="auto"/>
        <w:outlineLvl w:val="1"/>
        <w:rPr>
          <w:rFonts w:ascii="Arial" w:eastAsia="Times New Roman" w:hAnsi="Arial" w:cs="Arial"/>
          <w:b/>
          <w:bCs/>
          <w:kern w:val="36"/>
          <w:sz w:val="28"/>
          <w:szCs w:val="28"/>
          <w:lang w:eastAsia="de-DE"/>
        </w:rPr>
      </w:pPr>
      <w:bookmarkStart w:id="0" w:name="_GoBack"/>
      <w:r>
        <w:rPr>
          <w:rFonts w:ascii="Arial" w:eastAsia="Times New Roman" w:hAnsi="Arial" w:cs="Arial"/>
          <w:b/>
          <w:bCs/>
          <w:kern w:val="36"/>
          <w:sz w:val="28"/>
          <w:szCs w:val="28"/>
          <w:lang w:eastAsia="de-DE"/>
        </w:rPr>
        <w:t xml:space="preserve">Wegfall der </w:t>
      </w:r>
      <w:r w:rsidR="00E755D1" w:rsidRPr="00E755D1">
        <w:rPr>
          <w:rFonts w:ascii="Arial" w:eastAsia="Times New Roman" w:hAnsi="Arial" w:cs="Arial"/>
          <w:b/>
          <w:bCs/>
          <w:kern w:val="36"/>
          <w:sz w:val="28"/>
          <w:szCs w:val="28"/>
          <w:lang w:eastAsia="de-DE"/>
        </w:rPr>
        <w:t>Beleg</w:t>
      </w:r>
      <w:r>
        <w:rPr>
          <w:rFonts w:ascii="Arial" w:eastAsia="Times New Roman" w:hAnsi="Arial" w:cs="Arial"/>
          <w:b/>
          <w:bCs/>
          <w:kern w:val="36"/>
          <w:sz w:val="28"/>
          <w:szCs w:val="28"/>
          <w:lang w:eastAsia="de-DE"/>
        </w:rPr>
        <w:t>vorlagepflicht</w:t>
      </w:r>
      <w:r w:rsidR="00E755D1" w:rsidRPr="00E755D1">
        <w:rPr>
          <w:rFonts w:ascii="Arial" w:eastAsia="Times New Roman" w:hAnsi="Arial" w:cs="Arial"/>
          <w:b/>
          <w:bCs/>
          <w:kern w:val="36"/>
          <w:sz w:val="28"/>
          <w:szCs w:val="28"/>
          <w:lang w:eastAsia="de-DE"/>
        </w:rPr>
        <w:t xml:space="preserve"> für die Steuererklärung</w:t>
      </w:r>
    </w:p>
    <w:bookmarkEnd w:id="0"/>
    <w:p w:rsidR="00E755D1" w:rsidRPr="00E755D1" w:rsidRDefault="00E755D1" w:rsidP="00E755D1">
      <w:pPr>
        <w:shd w:val="clear" w:color="auto" w:fill="FFFFFF"/>
        <w:spacing w:after="0" w:line="360" w:lineRule="auto"/>
        <w:outlineLvl w:val="2"/>
        <w:rPr>
          <w:rFonts w:ascii="Arial" w:eastAsia="Times New Roman" w:hAnsi="Arial" w:cs="Arial"/>
          <w:b/>
          <w:bCs/>
          <w:sz w:val="24"/>
          <w:szCs w:val="24"/>
          <w:lang w:eastAsia="de-DE"/>
        </w:rPr>
      </w:pPr>
      <w:r w:rsidRPr="00E755D1">
        <w:rPr>
          <w:rFonts w:ascii="Arial" w:eastAsia="Times New Roman" w:hAnsi="Arial" w:cs="Arial"/>
          <w:b/>
          <w:bCs/>
          <w:sz w:val="24"/>
          <w:szCs w:val="24"/>
          <w:lang w:eastAsia="de-DE"/>
        </w:rPr>
        <w:t xml:space="preserve">Vorlage nur noch </w:t>
      </w:r>
      <w:r w:rsidR="00CC6C7C">
        <w:rPr>
          <w:rFonts w:ascii="Arial" w:eastAsia="Times New Roman" w:hAnsi="Arial" w:cs="Arial"/>
          <w:b/>
          <w:bCs/>
          <w:sz w:val="24"/>
          <w:szCs w:val="24"/>
          <w:lang w:eastAsia="de-DE"/>
        </w:rPr>
        <w:t>nach</w:t>
      </w:r>
      <w:r w:rsidRPr="00E755D1">
        <w:rPr>
          <w:rFonts w:ascii="Arial" w:eastAsia="Times New Roman" w:hAnsi="Arial" w:cs="Arial"/>
          <w:b/>
          <w:bCs/>
          <w:sz w:val="24"/>
          <w:szCs w:val="24"/>
          <w:lang w:eastAsia="de-DE"/>
        </w:rPr>
        <w:t xml:space="preserve"> </w:t>
      </w:r>
      <w:r w:rsidR="00365C5C">
        <w:rPr>
          <w:rFonts w:ascii="Arial" w:eastAsia="Times New Roman" w:hAnsi="Arial" w:cs="Arial"/>
          <w:b/>
          <w:bCs/>
          <w:sz w:val="24"/>
          <w:szCs w:val="24"/>
          <w:lang w:eastAsia="de-DE"/>
        </w:rPr>
        <w:t>Aufforderung</w:t>
      </w:r>
      <w:r w:rsidR="00365C5C" w:rsidRPr="00E755D1">
        <w:rPr>
          <w:rFonts w:ascii="Arial" w:eastAsia="Times New Roman" w:hAnsi="Arial" w:cs="Arial"/>
          <w:b/>
          <w:bCs/>
          <w:sz w:val="24"/>
          <w:szCs w:val="24"/>
          <w:lang w:eastAsia="de-DE"/>
        </w:rPr>
        <w:t xml:space="preserve"> </w:t>
      </w:r>
      <w:r w:rsidRPr="00E755D1">
        <w:rPr>
          <w:rFonts w:ascii="Arial" w:eastAsia="Times New Roman" w:hAnsi="Arial" w:cs="Arial"/>
          <w:b/>
          <w:bCs/>
          <w:sz w:val="24"/>
          <w:szCs w:val="24"/>
          <w:lang w:eastAsia="de-DE"/>
        </w:rPr>
        <w:t>des Finanzamts erforderlich</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r w:rsidRPr="00E755D1">
        <w:rPr>
          <w:rFonts w:ascii="Arial" w:eastAsia="Times New Roman" w:hAnsi="Arial" w:cs="Arial"/>
          <w:color w:val="404040"/>
          <w:sz w:val="24"/>
          <w:szCs w:val="24"/>
          <w:lang w:eastAsia="de-DE"/>
        </w:rPr>
        <w:t>Mit de</w:t>
      </w:r>
      <w:r w:rsidR="00365C5C">
        <w:rPr>
          <w:rFonts w:ascii="Arial" w:eastAsia="Times New Roman" w:hAnsi="Arial" w:cs="Arial"/>
          <w:color w:val="404040"/>
          <w:sz w:val="24"/>
          <w:szCs w:val="24"/>
          <w:lang w:eastAsia="de-DE"/>
        </w:rPr>
        <w:t xml:space="preserve">m Gesetz zur Modernisierung des Besteuerungsverfahrens wurde ab dem Veranlagungszeitraum 2017 die bislang geltende Belegvorlagepflicht bis auf wenige Ausnahmen in eine Belegvorhaltepflicht geändert. Dies bedeutet, dass </w:t>
      </w:r>
      <w:r w:rsidR="00365C5C" w:rsidRPr="00365C5C">
        <w:rPr>
          <w:rFonts w:ascii="Arial" w:eastAsia="Times New Roman" w:hAnsi="Arial" w:cs="Arial"/>
          <w:color w:val="404040"/>
          <w:sz w:val="24"/>
          <w:szCs w:val="24"/>
          <w:lang w:eastAsia="de-DE"/>
        </w:rPr>
        <w:t xml:space="preserve">Steuerzahler </w:t>
      </w:r>
      <w:r w:rsidR="00365C5C">
        <w:rPr>
          <w:rFonts w:ascii="Arial" w:eastAsia="Times New Roman" w:hAnsi="Arial" w:cs="Arial"/>
          <w:color w:val="404040"/>
          <w:sz w:val="24"/>
          <w:szCs w:val="24"/>
          <w:lang w:eastAsia="de-DE"/>
        </w:rPr>
        <w:t>mit der</w:t>
      </w:r>
      <w:r w:rsidRPr="00E755D1">
        <w:rPr>
          <w:rFonts w:ascii="Arial" w:eastAsia="Times New Roman" w:hAnsi="Arial" w:cs="Arial"/>
          <w:color w:val="404040"/>
          <w:sz w:val="24"/>
          <w:szCs w:val="24"/>
          <w:lang w:eastAsia="de-DE"/>
        </w:rPr>
        <w:t xml:space="preserve"> Steuererklärung des Jahres 2017 dem Finanzamt </w:t>
      </w:r>
      <w:r w:rsidR="00365C5C">
        <w:rPr>
          <w:rFonts w:ascii="Arial" w:eastAsia="Times New Roman" w:hAnsi="Arial" w:cs="Arial"/>
          <w:color w:val="404040"/>
          <w:sz w:val="24"/>
          <w:szCs w:val="24"/>
          <w:lang w:eastAsia="de-DE"/>
        </w:rPr>
        <w:t xml:space="preserve">grundsätzlich </w:t>
      </w:r>
      <w:r w:rsidRPr="00E755D1">
        <w:rPr>
          <w:rFonts w:ascii="Arial" w:eastAsia="Times New Roman" w:hAnsi="Arial" w:cs="Arial"/>
          <w:color w:val="404040"/>
          <w:sz w:val="24"/>
          <w:szCs w:val="24"/>
          <w:lang w:eastAsia="de-DE"/>
        </w:rPr>
        <w:t xml:space="preserve">nur noch dann </w:t>
      </w:r>
      <w:r w:rsidR="00365C5C">
        <w:rPr>
          <w:rFonts w:ascii="Arial" w:eastAsia="Times New Roman" w:hAnsi="Arial" w:cs="Arial"/>
          <w:color w:val="404040"/>
          <w:sz w:val="24"/>
          <w:szCs w:val="24"/>
          <w:lang w:eastAsia="de-DE"/>
        </w:rPr>
        <w:t xml:space="preserve">Belege vorlegen </w:t>
      </w:r>
      <w:r w:rsidRPr="00E755D1">
        <w:rPr>
          <w:rFonts w:ascii="Arial" w:eastAsia="Times New Roman" w:hAnsi="Arial" w:cs="Arial"/>
          <w:color w:val="404040"/>
          <w:sz w:val="24"/>
          <w:szCs w:val="24"/>
          <w:lang w:eastAsia="de-DE"/>
        </w:rPr>
        <w:t>müssen, wenn das Finanzamt dazu auffordert.</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p>
    <w:p w:rsidR="00E755D1" w:rsidRDefault="00365C5C" w:rsidP="00E755D1">
      <w:pPr>
        <w:shd w:val="clear" w:color="auto" w:fill="FFFFFF"/>
        <w:spacing w:after="0" w:line="360" w:lineRule="auto"/>
        <w:rPr>
          <w:rFonts w:ascii="Arial" w:eastAsia="Times New Roman" w:hAnsi="Arial" w:cs="Arial"/>
          <w:color w:val="404040"/>
          <w:sz w:val="24"/>
          <w:szCs w:val="24"/>
          <w:lang w:eastAsia="de-DE"/>
        </w:rPr>
      </w:pPr>
      <w:r>
        <w:rPr>
          <w:rFonts w:ascii="Arial" w:eastAsia="Times New Roman" w:hAnsi="Arial" w:cs="Arial"/>
          <w:color w:val="404040"/>
          <w:sz w:val="24"/>
          <w:szCs w:val="24"/>
          <w:lang w:eastAsia="de-DE"/>
        </w:rPr>
        <w:t xml:space="preserve">Gemeint sind </w:t>
      </w:r>
      <w:r w:rsidR="0006433C">
        <w:rPr>
          <w:rFonts w:ascii="Arial" w:eastAsia="Times New Roman" w:hAnsi="Arial" w:cs="Arial"/>
          <w:color w:val="404040"/>
          <w:sz w:val="24"/>
          <w:szCs w:val="24"/>
          <w:lang w:eastAsia="de-DE"/>
        </w:rPr>
        <w:t xml:space="preserve">hiermit </w:t>
      </w:r>
      <w:r>
        <w:rPr>
          <w:rFonts w:ascii="Arial" w:eastAsia="Times New Roman" w:hAnsi="Arial" w:cs="Arial"/>
          <w:color w:val="404040"/>
          <w:sz w:val="24"/>
          <w:szCs w:val="24"/>
          <w:lang w:eastAsia="de-DE"/>
        </w:rPr>
        <w:t xml:space="preserve">Belege, die bisher zwingend im Original vorgelegt werden mussten </w:t>
      </w:r>
      <w:r w:rsidR="00E755D1" w:rsidRPr="00E755D1">
        <w:rPr>
          <w:rFonts w:ascii="Arial" w:eastAsia="Times New Roman" w:hAnsi="Arial" w:cs="Arial"/>
          <w:color w:val="404040"/>
          <w:sz w:val="24"/>
          <w:szCs w:val="24"/>
          <w:lang w:eastAsia="de-DE"/>
        </w:rPr>
        <w:t xml:space="preserve">(Spendenbescheinigung, </w:t>
      </w:r>
      <w:proofErr w:type="spellStart"/>
      <w:r w:rsidR="00E755D1" w:rsidRPr="00E755D1">
        <w:rPr>
          <w:rFonts w:ascii="Arial" w:eastAsia="Times New Roman" w:hAnsi="Arial" w:cs="Arial"/>
          <w:color w:val="404040"/>
          <w:sz w:val="24"/>
          <w:szCs w:val="24"/>
          <w:lang w:eastAsia="de-DE"/>
        </w:rPr>
        <w:t>Kapitalertragsteuerbescheinigung</w:t>
      </w:r>
      <w:proofErr w:type="spellEnd"/>
      <w:r w:rsidR="00E755D1" w:rsidRPr="00E755D1">
        <w:rPr>
          <w:rFonts w:ascii="Arial" w:eastAsia="Times New Roman" w:hAnsi="Arial" w:cs="Arial"/>
          <w:color w:val="404040"/>
          <w:sz w:val="24"/>
          <w:szCs w:val="24"/>
          <w:lang w:eastAsia="de-DE"/>
        </w:rPr>
        <w:t>, Nachweis über den Grad der Behinderung)</w:t>
      </w:r>
      <w:r w:rsidR="0006433C">
        <w:rPr>
          <w:rFonts w:ascii="Arial" w:eastAsia="Times New Roman" w:hAnsi="Arial" w:cs="Arial"/>
          <w:color w:val="404040"/>
          <w:sz w:val="24"/>
          <w:szCs w:val="24"/>
          <w:lang w:eastAsia="de-DE"/>
        </w:rPr>
        <w:t>,</w:t>
      </w:r>
      <w:r w:rsidR="00E755D1" w:rsidRPr="00E755D1">
        <w:rPr>
          <w:rFonts w:ascii="Arial" w:eastAsia="Times New Roman" w:hAnsi="Arial" w:cs="Arial"/>
          <w:color w:val="404040"/>
          <w:sz w:val="24"/>
          <w:szCs w:val="24"/>
          <w:lang w:eastAsia="de-DE"/>
        </w:rPr>
        <w:t xml:space="preserve"> </w:t>
      </w:r>
      <w:r w:rsidR="0006433C">
        <w:rPr>
          <w:rFonts w:ascii="Arial" w:eastAsia="Times New Roman" w:hAnsi="Arial" w:cs="Arial"/>
          <w:color w:val="404040"/>
          <w:sz w:val="24"/>
          <w:szCs w:val="24"/>
          <w:lang w:eastAsia="de-DE"/>
        </w:rPr>
        <w:t xml:space="preserve">und </w:t>
      </w:r>
      <w:r>
        <w:rPr>
          <w:rFonts w:ascii="Arial" w:eastAsia="Times New Roman" w:hAnsi="Arial" w:cs="Arial"/>
          <w:color w:val="404040"/>
          <w:sz w:val="24"/>
          <w:szCs w:val="24"/>
          <w:lang w:eastAsia="de-DE"/>
        </w:rPr>
        <w:t xml:space="preserve">auch </w:t>
      </w:r>
      <w:r w:rsidR="00E755D1" w:rsidRPr="00E755D1">
        <w:rPr>
          <w:rFonts w:ascii="Arial" w:eastAsia="Times New Roman" w:hAnsi="Arial" w:cs="Arial"/>
          <w:color w:val="404040"/>
          <w:sz w:val="24"/>
          <w:szCs w:val="24"/>
          <w:lang w:eastAsia="de-DE"/>
        </w:rPr>
        <w:t xml:space="preserve">sonstige einzureichende Unterlagen, Aufstellungen und Erläuterungen, die für das Besteuerungsverfahren von Bedeutung sind, für die es </w:t>
      </w:r>
      <w:r w:rsidR="0037064E">
        <w:rPr>
          <w:rFonts w:ascii="Arial" w:eastAsia="Times New Roman" w:hAnsi="Arial" w:cs="Arial"/>
          <w:color w:val="404040"/>
          <w:sz w:val="24"/>
          <w:szCs w:val="24"/>
          <w:lang w:eastAsia="de-DE"/>
        </w:rPr>
        <w:t xml:space="preserve">aber </w:t>
      </w:r>
      <w:r w:rsidR="00E755D1" w:rsidRPr="00E755D1">
        <w:rPr>
          <w:rFonts w:ascii="Arial" w:eastAsia="Times New Roman" w:hAnsi="Arial" w:cs="Arial"/>
          <w:color w:val="404040"/>
          <w:sz w:val="24"/>
          <w:szCs w:val="24"/>
          <w:lang w:eastAsia="de-DE"/>
        </w:rPr>
        <w:t xml:space="preserve">keine gesetzliche Vorlagepflicht gab. </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p>
    <w:p w:rsidR="00E755D1" w:rsidRDefault="00E755D1" w:rsidP="00E755D1">
      <w:pPr>
        <w:shd w:val="clear" w:color="auto" w:fill="FFFFFF"/>
        <w:spacing w:after="0" w:line="360" w:lineRule="auto"/>
        <w:rPr>
          <w:rFonts w:ascii="Arial" w:eastAsia="Times New Roman" w:hAnsi="Arial" w:cs="Arial"/>
          <w:b/>
          <w:bCs/>
          <w:color w:val="404040"/>
          <w:sz w:val="24"/>
          <w:szCs w:val="24"/>
          <w:lang w:eastAsia="de-DE"/>
        </w:rPr>
      </w:pPr>
      <w:r w:rsidRPr="00E755D1">
        <w:rPr>
          <w:rFonts w:ascii="Arial" w:eastAsia="Times New Roman" w:hAnsi="Arial" w:cs="Arial"/>
          <w:b/>
          <w:bCs/>
          <w:color w:val="404040"/>
          <w:sz w:val="24"/>
          <w:szCs w:val="24"/>
          <w:lang w:eastAsia="de-DE"/>
        </w:rPr>
        <w:t>Aufbewahrungsfristen</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r w:rsidRPr="00E755D1">
        <w:rPr>
          <w:rFonts w:ascii="Arial" w:eastAsia="Times New Roman" w:hAnsi="Arial" w:cs="Arial"/>
          <w:color w:val="404040"/>
          <w:sz w:val="24"/>
          <w:szCs w:val="24"/>
          <w:lang w:eastAsia="de-DE"/>
        </w:rPr>
        <w:t>Für die meisten Steuerbürger gilt, dass sie Belege grundsätzlich bis zum Ablauf der Einspruchsfrist (endet einen Monat nach Erhalt des Steuerbescheids) und nach Einlegung eines Einspruchs oder einer Klage bis zum endgültigen Abschluss des Verfahrens aufbewahren sollten. Belege, die für mehrere Jahre von Bedeutung sind (z</w:t>
      </w:r>
      <w:r>
        <w:rPr>
          <w:rFonts w:ascii="Arial" w:eastAsia="Times New Roman" w:hAnsi="Arial" w:cs="Arial"/>
          <w:color w:val="404040"/>
          <w:sz w:val="24"/>
          <w:szCs w:val="24"/>
          <w:lang w:eastAsia="de-DE"/>
        </w:rPr>
        <w:t>um Beispiel</w:t>
      </w:r>
      <w:r w:rsidRPr="00E755D1">
        <w:rPr>
          <w:rFonts w:ascii="Arial" w:eastAsia="Times New Roman" w:hAnsi="Arial" w:cs="Arial"/>
          <w:color w:val="404040"/>
          <w:sz w:val="24"/>
          <w:szCs w:val="24"/>
          <w:lang w:eastAsia="de-DE"/>
        </w:rPr>
        <w:t xml:space="preserve"> ärztliche Atteste)</w:t>
      </w:r>
      <w:r w:rsidR="0006433C">
        <w:rPr>
          <w:rFonts w:ascii="Arial" w:eastAsia="Times New Roman" w:hAnsi="Arial" w:cs="Arial"/>
          <w:color w:val="404040"/>
          <w:sz w:val="24"/>
          <w:szCs w:val="24"/>
          <w:lang w:eastAsia="de-DE"/>
        </w:rPr>
        <w:t>,</w:t>
      </w:r>
      <w:r w:rsidRPr="00E755D1">
        <w:rPr>
          <w:rFonts w:ascii="Arial" w:eastAsia="Times New Roman" w:hAnsi="Arial" w:cs="Arial"/>
          <w:color w:val="404040"/>
          <w:sz w:val="24"/>
          <w:szCs w:val="24"/>
          <w:lang w:eastAsia="de-DE"/>
        </w:rPr>
        <w:t xml:space="preserve"> sollten entsprechend länger aufbewahrt werden. Sollte der Steuerbescheid unter dem Vorbehalt der Nachprüfung stehen oder vorläufig sein, sollten die Belege ebenfalls aufbewahrt werden (Angaben hierzu finden sich in den Erläuterungstexten am Ende des Steuerbescheids).</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r w:rsidRPr="00E755D1">
        <w:rPr>
          <w:rFonts w:ascii="Arial" w:eastAsia="Times New Roman" w:hAnsi="Arial" w:cs="Arial"/>
          <w:color w:val="404040"/>
          <w:sz w:val="24"/>
          <w:szCs w:val="24"/>
          <w:lang w:eastAsia="de-DE"/>
        </w:rPr>
        <w:t>Eine besondere Regelung gilt für Zuwendungsnachweise, also Bescheinigungen für Spenden und Mitgliedsbeiträge an als gemeinnützig anerkannte Vereine und Einrichtungen: Diese müssen bis zu einem Jahr nach Bekanntgabe des Steuerbescheids aufbewahrt werden, wenn sie nicht zuvor vom Finanzamt angefordert wurden.</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r w:rsidRPr="00E755D1">
        <w:rPr>
          <w:rFonts w:ascii="Arial" w:eastAsia="Times New Roman" w:hAnsi="Arial" w:cs="Arial"/>
          <w:color w:val="404040"/>
          <w:sz w:val="24"/>
          <w:szCs w:val="24"/>
          <w:lang w:eastAsia="de-DE"/>
        </w:rPr>
        <w:t xml:space="preserve">Darüber hinaus müssen Privatpersonen weitere Belege aufbewahren: Für Leistungen, die im Zusammenhang mit einem Grundstück stehen, sind Rechnungen für die Dauer von zwei Jahren aufzubewahren. Das können beispielsweise </w:t>
      </w:r>
      <w:r w:rsidRPr="00E755D1">
        <w:rPr>
          <w:rFonts w:ascii="Arial" w:eastAsia="Times New Roman" w:hAnsi="Arial" w:cs="Arial"/>
          <w:color w:val="404040"/>
          <w:sz w:val="24"/>
          <w:szCs w:val="24"/>
          <w:lang w:eastAsia="de-DE"/>
        </w:rPr>
        <w:lastRenderedPageBreak/>
        <w:t xml:space="preserve">Handwerkerleistungen oder haushaltsnahe Dienstleistungen sein. Die Frist beginnt mit dem Schluss des Kalenderjahres, in dem die Rechnung ausgestellt worden ist. </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p>
    <w:p w:rsidR="00E755D1" w:rsidRDefault="00E755D1" w:rsidP="00E755D1">
      <w:pPr>
        <w:shd w:val="clear" w:color="auto" w:fill="FFFFFF"/>
        <w:spacing w:after="0" w:line="360" w:lineRule="auto"/>
        <w:rPr>
          <w:rFonts w:ascii="Arial" w:eastAsia="Times New Roman" w:hAnsi="Arial" w:cs="Arial"/>
          <w:b/>
          <w:bCs/>
          <w:color w:val="404040"/>
          <w:sz w:val="24"/>
          <w:szCs w:val="24"/>
          <w:lang w:eastAsia="de-DE"/>
        </w:rPr>
      </w:pPr>
      <w:r w:rsidRPr="00E755D1">
        <w:rPr>
          <w:rFonts w:ascii="Arial" w:eastAsia="Times New Roman" w:hAnsi="Arial" w:cs="Arial"/>
          <w:b/>
          <w:bCs/>
          <w:color w:val="404040"/>
          <w:sz w:val="24"/>
          <w:szCs w:val="24"/>
          <w:lang w:eastAsia="de-DE"/>
        </w:rPr>
        <w:t xml:space="preserve">Privatpersonen mit </w:t>
      </w:r>
      <w:proofErr w:type="spellStart"/>
      <w:r w:rsidRPr="00E755D1">
        <w:rPr>
          <w:rFonts w:ascii="Arial" w:eastAsia="Times New Roman" w:hAnsi="Arial" w:cs="Arial"/>
          <w:b/>
          <w:bCs/>
          <w:color w:val="404040"/>
          <w:sz w:val="24"/>
          <w:szCs w:val="24"/>
          <w:lang w:eastAsia="de-DE"/>
        </w:rPr>
        <w:t>Fotovoltaikanlage</w:t>
      </w:r>
      <w:proofErr w:type="spellEnd"/>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r w:rsidRPr="00E755D1">
        <w:rPr>
          <w:rFonts w:ascii="Arial" w:eastAsia="Times New Roman" w:hAnsi="Arial" w:cs="Arial"/>
          <w:color w:val="404040"/>
          <w:sz w:val="24"/>
          <w:szCs w:val="24"/>
          <w:lang w:eastAsia="de-DE"/>
        </w:rPr>
        <w:t xml:space="preserve">Einnahmen aus dem Betrieb einer </w:t>
      </w:r>
      <w:proofErr w:type="spellStart"/>
      <w:r w:rsidRPr="00E755D1">
        <w:rPr>
          <w:rFonts w:ascii="Arial" w:eastAsia="Times New Roman" w:hAnsi="Arial" w:cs="Arial"/>
          <w:color w:val="404040"/>
          <w:sz w:val="24"/>
          <w:szCs w:val="24"/>
          <w:lang w:eastAsia="de-DE"/>
        </w:rPr>
        <w:t>Fotovoltaikanlage</w:t>
      </w:r>
      <w:proofErr w:type="spellEnd"/>
      <w:r w:rsidRPr="00E755D1">
        <w:rPr>
          <w:rFonts w:ascii="Arial" w:eastAsia="Times New Roman" w:hAnsi="Arial" w:cs="Arial"/>
          <w:color w:val="404040"/>
          <w:sz w:val="24"/>
          <w:szCs w:val="24"/>
          <w:lang w:eastAsia="de-DE"/>
        </w:rPr>
        <w:t xml:space="preserve"> gehören zu den Einkünften aus Gewerbebetrieb. Dementsprechend gilt auch für Betreiber einer </w:t>
      </w:r>
      <w:proofErr w:type="spellStart"/>
      <w:r w:rsidRPr="00E755D1">
        <w:rPr>
          <w:rFonts w:ascii="Arial" w:eastAsia="Times New Roman" w:hAnsi="Arial" w:cs="Arial"/>
          <w:color w:val="404040"/>
          <w:sz w:val="24"/>
          <w:szCs w:val="24"/>
          <w:lang w:eastAsia="de-DE"/>
        </w:rPr>
        <w:t>Fotovoltaikanlage</w:t>
      </w:r>
      <w:proofErr w:type="spellEnd"/>
      <w:r w:rsidRPr="00E755D1">
        <w:rPr>
          <w:rFonts w:ascii="Arial" w:eastAsia="Times New Roman" w:hAnsi="Arial" w:cs="Arial"/>
          <w:color w:val="404040"/>
          <w:sz w:val="24"/>
          <w:szCs w:val="24"/>
          <w:lang w:eastAsia="de-DE"/>
        </w:rPr>
        <w:t>, die Strom in das öffentliche Stromnetz einspeisen, eine Aufbewahrungsfrist von zehn Jahren für die zugehörigen Unterlagen.</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p>
    <w:p w:rsidR="00E755D1" w:rsidRDefault="00E755D1" w:rsidP="00E755D1">
      <w:pPr>
        <w:shd w:val="clear" w:color="auto" w:fill="FFFFFF"/>
        <w:spacing w:after="0" w:line="360" w:lineRule="auto"/>
        <w:rPr>
          <w:rFonts w:ascii="Arial" w:eastAsia="Times New Roman" w:hAnsi="Arial" w:cs="Arial"/>
          <w:b/>
          <w:bCs/>
          <w:color w:val="404040"/>
          <w:sz w:val="24"/>
          <w:szCs w:val="24"/>
          <w:lang w:eastAsia="de-DE"/>
        </w:rPr>
      </w:pPr>
      <w:r w:rsidRPr="00E755D1">
        <w:rPr>
          <w:rFonts w:ascii="Arial" w:eastAsia="Times New Roman" w:hAnsi="Arial" w:cs="Arial"/>
          <w:b/>
          <w:bCs/>
          <w:color w:val="404040"/>
          <w:sz w:val="24"/>
          <w:szCs w:val="24"/>
          <w:lang w:eastAsia="de-DE"/>
        </w:rPr>
        <w:t>Aufbewahrungsfristen für Gewerbetreibende, Freiberufler und Landwirte</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r w:rsidRPr="00E755D1">
        <w:rPr>
          <w:rFonts w:ascii="Arial" w:eastAsia="Times New Roman" w:hAnsi="Arial" w:cs="Arial"/>
          <w:color w:val="404040"/>
          <w:sz w:val="24"/>
          <w:szCs w:val="24"/>
          <w:lang w:eastAsia="de-DE"/>
        </w:rPr>
        <w:t>Für gewerblich, selbstständig oder land- und forstwirtschaftlich tätige Steuerpflichtige haben sich keine Änderungen ergeben. Diese haben – wie auch bisher – die Grundsätze zur ordnungsmäßigen Führung und Aufbewahrung von Büchern, Aufzeichnungen und Unterlagen in elektronischer Form sowie zum Datenzugriff (</w:t>
      </w:r>
      <w:proofErr w:type="spellStart"/>
      <w:r w:rsidRPr="00E755D1">
        <w:rPr>
          <w:rFonts w:ascii="Arial" w:eastAsia="Times New Roman" w:hAnsi="Arial" w:cs="Arial"/>
          <w:color w:val="404040"/>
          <w:sz w:val="24"/>
          <w:szCs w:val="24"/>
          <w:lang w:eastAsia="de-DE"/>
        </w:rPr>
        <w:t>GoBD</w:t>
      </w:r>
      <w:proofErr w:type="spellEnd"/>
      <w:r w:rsidRPr="00E755D1">
        <w:rPr>
          <w:rFonts w:ascii="Arial" w:eastAsia="Times New Roman" w:hAnsi="Arial" w:cs="Arial"/>
          <w:color w:val="404040"/>
          <w:sz w:val="24"/>
          <w:szCs w:val="24"/>
          <w:lang w:eastAsia="de-DE"/>
        </w:rPr>
        <w:t>) zu beachten. Für diese Berufsgruppen gelten daher besondere Aufbewahrungsfristen, die bis zu zehn Jahre betragen. So müssen beispielsweise Buchungsbelege für die Steuererklärung 2017 in der Regel bis zum 31.</w:t>
      </w:r>
      <w:r w:rsidR="0037064E">
        <w:rPr>
          <w:rFonts w:ascii="Arial" w:eastAsia="Times New Roman" w:hAnsi="Arial" w:cs="Arial"/>
          <w:color w:val="404040"/>
          <w:sz w:val="24"/>
          <w:szCs w:val="24"/>
          <w:lang w:eastAsia="de-DE"/>
        </w:rPr>
        <w:t xml:space="preserve"> Dezember </w:t>
      </w:r>
      <w:r w:rsidRPr="00E755D1">
        <w:rPr>
          <w:rFonts w:ascii="Arial" w:eastAsia="Times New Roman" w:hAnsi="Arial" w:cs="Arial"/>
          <w:color w:val="404040"/>
          <w:sz w:val="24"/>
          <w:szCs w:val="24"/>
          <w:lang w:eastAsia="de-DE"/>
        </w:rPr>
        <w:t>2027 aufbewahrt werden.</w:t>
      </w:r>
      <w:r>
        <w:rPr>
          <w:rFonts w:ascii="Arial" w:eastAsia="Times New Roman" w:hAnsi="Arial" w:cs="Arial"/>
          <w:color w:val="404040"/>
          <w:sz w:val="24"/>
          <w:szCs w:val="24"/>
          <w:lang w:eastAsia="de-DE"/>
        </w:rPr>
        <w:t xml:space="preserve"> </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r w:rsidRPr="00E755D1">
        <w:rPr>
          <w:rFonts w:ascii="Arial" w:eastAsia="Times New Roman" w:hAnsi="Arial" w:cs="Arial"/>
          <w:b/>
          <w:bCs/>
          <w:color w:val="404040"/>
          <w:sz w:val="24"/>
          <w:szCs w:val="24"/>
          <w:lang w:eastAsia="de-DE"/>
        </w:rPr>
        <w:t>Aufbewahrungsfristen für Steuerpflichtige mit bedeutenden Überschusseinkünften</w:t>
      </w:r>
      <w:r w:rsidRPr="00E755D1">
        <w:rPr>
          <w:rFonts w:ascii="Arial" w:eastAsia="Times New Roman" w:hAnsi="Arial" w:cs="Arial"/>
          <w:color w:val="404040"/>
          <w:sz w:val="24"/>
          <w:szCs w:val="24"/>
          <w:lang w:eastAsia="de-DE"/>
        </w:rPr>
        <w:t xml:space="preserve"> oder Anteilen an ausländischen Drittstaat-Gesellschaften (§</w:t>
      </w:r>
      <w:r>
        <w:rPr>
          <w:rFonts w:ascii="Arial" w:eastAsia="Times New Roman" w:hAnsi="Arial" w:cs="Arial"/>
          <w:color w:val="404040"/>
          <w:sz w:val="24"/>
          <w:szCs w:val="24"/>
          <w:lang w:eastAsia="de-DE"/>
        </w:rPr>
        <w:t> </w:t>
      </w:r>
      <w:r w:rsidRPr="00E755D1">
        <w:rPr>
          <w:rFonts w:ascii="Arial" w:eastAsia="Times New Roman" w:hAnsi="Arial" w:cs="Arial"/>
          <w:color w:val="404040"/>
          <w:sz w:val="24"/>
          <w:szCs w:val="24"/>
          <w:lang w:eastAsia="de-DE"/>
        </w:rPr>
        <w:t>147a der Abgabenordnung)</w:t>
      </w:r>
    </w:p>
    <w:p w:rsidR="00E755D1" w:rsidRDefault="00E755D1" w:rsidP="00E755D1">
      <w:pPr>
        <w:shd w:val="clear" w:color="auto" w:fill="FFFFFF"/>
        <w:spacing w:after="0" w:line="360" w:lineRule="auto"/>
        <w:rPr>
          <w:rFonts w:ascii="Arial" w:eastAsia="Times New Roman" w:hAnsi="Arial" w:cs="Arial"/>
          <w:color w:val="404040"/>
          <w:sz w:val="24"/>
          <w:szCs w:val="24"/>
          <w:lang w:eastAsia="de-DE"/>
        </w:rPr>
      </w:pPr>
      <w:r w:rsidRPr="00E755D1">
        <w:rPr>
          <w:rFonts w:ascii="Arial" w:eastAsia="Times New Roman" w:hAnsi="Arial" w:cs="Arial"/>
          <w:color w:val="404040"/>
          <w:sz w:val="24"/>
          <w:szCs w:val="24"/>
          <w:lang w:eastAsia="de-DE"/>
        </w:rPr>
        <w:t>Haben Steuerbürger Überschusseinkünfte (d</w:t>
      </w:r>
      <w:r>
        <w:rPr>
          <w:rFonts w:ascii="Arial" w:eastAsia="Times New Roman" w:hAnsi="Arial" w:cs="Arial"/>
          <w:color w:val="404040"/>
          <w:sz w:val="24"/>
          <w:szCs w:val="24"/>
          <w:lang w:eastAsia="de-DE"/>
        </w:rPr>
        <w:t xml:space="preserve">as </w:t>
      </w:r>
      <w:r w:rsidRPr="00E755D1">
        <w:rPr>
          <w:rFonts w:ascii="Arial" w:eastAsia="Times New Roman" w:hAnsi="Arial" w:cs="Arial"/>
          <w:color w:val="404040"/>
          <w:sz w:val="24"/>
          <w:szCs w:val="24"/>
          <w:lang w:eastAsia="de-DE"/>
        </w:rPr>
        <w:t>h</w:t>
      </w:r>
      <w:r>
        <w:rPr>
          <w:rFonts w:ascii="Arial" w:eastAsia="Times New Roman" w:hAnsi="Arial" w:cs="Arial"/>
          <w:color w:val="404040"/>
          <w:sz w:val="24"/>
          <w:szCs w:val="24"/>
          <w:lang w:eastAsia="de-DE"/>
        </w:rPr>
        <w:t>eißt</w:t>
      </w:r>
      <w:r w:rsidRPr="00E755D1">
        <w:rPr>
          <w:rFonts w:ascii="Arial" w:eastAsia="Times New Roman" w:hAnsi="Arial" w:cs="Arial"/>
          <w:color w:val="404040"/>
          <w:sz w:val="24"/>
          <w:szCs w:val="24"/>
          <w:lang w:eastAsia="de-DE"/>
        </w:rPr>
        <w:t xml:space="preserve"> als Arbeitnehmer, aus nicht der Abgeltungsteuer unterliegendem Kapitalvermögen, aus Vermietung und Verpachtung oder sonstige Einkünfte), die in der Summe höher als 500.000 Euro pro Jahr sind, müssen Belege und Aufzeichnungen in diesem Zusammenhang grundsätzlich sechs Jahre aufbewahrt werden.</w:t>
      </w:r>
    </w:p>
    <w:p w:rsidR="0018411E" w:rsidRPr="00E755D1" w:rsidRDefault="00E755D1" w:rsidP="00E755D1">
      <w:pPr>
        <w:shd w:val="clear" w:color="auto" w:fill="FFFFFF"/>
        <w:spacing w:after="0" w:line="360" w:lineRule="auto"/>
        <w:rPr>
          <w:rFonts w:ascii="Arial" w:hAnsi="Arial" w:cs="Arial"/>
          <w:sz w:val="24"/>
          <w:szCs w:val="24"/>
        </w:rPr>
      </w:pPr>
      <w:r w:rsidRPr="00E755D1">
        <w:rPr>
          <w:rFonts w:ascii="Arial" w:eastAsia="Times New Roman" w:hAnsi="Arial" w:cs="Arial"/>
          <w:color w:val="404040"/>
          <w:sz w:val="24"/>
          <w:szCs w:val="24"/>
          <w:lang w:eastAsia="de-DE"/>
        </w:rPr>
        <w:t>Das gleiche gilt ab 2018 auch für Steuerpflichtige, die allein oder zusammen mit nahestehenden Personen unmittelbar oder mittelbar einen beherrschenden oder bestimmenden Einfluss auf gesellschaftsrechtliche, finanzielle oder geschäftliche Angelegenheiten einer Drittstaat-Gesellschaft ausüben können.</w:t>
      </w:r>
    </w:p>
    <w:sectPr w:rsidR="0018411E" w:rsidRPr="00E755D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D1"/>
    <w:rsid w:val="0006433C"/>
    <w:rsid w:val="0018411E"/>
    <w:rsid w:val="00365C5C"/>
    <w:rsid w:val="0037064E"/>
    <w:rsid w:val="003D1AA9"/>
    <w:rsid w:val="00842602"/>
    <w:rsid w:val="00A45040"/>
    <w:rsid w:val="00CC6C7C"/>
    <w:rsid w:val="00E755D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CCF2D-642A-4BDA-813B-2B59BF622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E755D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CC6C7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6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121672">
      <w:bodyDiv w:val="1"/>
      <w:marLeft w:val="0"/>
      <w:marRight w:val="0"/>
      <w:marTop w:val="0"/>
      <w:marBottom w:val="0"/>
      <w:divBdr>
        <w:top w:val="none" w:sz="0" w:space="0" w:color="auto"/>
        <w:left w:val="none" w:sz="0" w:space="0" w:color="auto"/>
        <w:bottom w:val="none" w:sz="0" w:space="0" w:color="auto"/>
        <w:right w:val="none" w:sz="0" w:space="0" w:color="auto"/>
      </w:divBdr>
      <w:divsChild>
        <w:div w:id="1751466517">
          <w:marLeft w:val="0"/>
          <w:marRight w:val="0"/>
          <w:marTop w:val="0"/>
          <w:marBottom w:val="120"/>
          <w:divBdr>
            <w:top w:val="none" w:sz="0" w:space="0" w:color="auto"/>
            <w:left w:val="single" w:sz="6" w:space="0" w:color="919090"/>
            <w:bottom w:val="single" w:sz="6" w:space="0" w:color="919090"/>
            <w:right w:val="single" w:sz="6" w:space="0" w:color="919090"/>
          </w:divBdr>
          <w:divsChild>
            <w:div w:id="1389452641">
              <w:marLeft w:val="0"/>
              <w:marRight w:val="0"/>
              <w:marTop w:val="0"/>
              <w:marBottom w:val="0"/>
              <w:divBdr>
                <w:top w:val="none" w:sz="0" w:space="0" w:color="auto"/>
                <w:left w:val="none" w:sz="0" w:space="0" w:color="auto"/>
                <w:bottom w:val="none" w:sz="0" w:space="0" w:color="auto"/>
                <w:right w:val="none" w:sz="0" w:space="0" w:color="auto"/>
              </w:divBdr>
              <w:divsChild>
                <w:div w:id="312150309">
                  <w:marLeft w:val="24"/>
                  <w:marRight w:val="0"/>
                  <w:marTop w:val="0"/>
                  <w:marBottom w:val="0"/>
                  <w:divBdr>
                    <w:top w:val="none" w:sz="0" w:space="0" w:color="auto"/>
                    <w:left w:val="none" w:sz="0" w:space="0" w:color="auto"/>
                    <w:bottom w:val="none" w:sz="0" w:space="0" w:color="auto"/>
                    <w:right w:val="none" w:sz="0" w:space="0" w:color="auto"/>
                  </w:divBdr>
                  <w:divsChild>
                    <w:div w:id="1145470361">
                      <w:marLeft w:val="0"/>
                      <w:marRight w:val="0"/>
                      <w:marTop w:val="0"/>
                      <w:marBottom w:val="0"/>
                      <w:divBdr>
                        <w:top w:val="none" w:sz="0" w:space="0" w:color="auto"/>
                        <w:left w:val="none" w:sz="0" w:space="0" w:color="auto"/>
                        <w:bottom w:val="none" w:sz="0" w:space="0" w:color="auto"/>
                        <w:right w:val="none" w:sz="0" w:space="0" w:color="auto"/>
                      </w:divBdr>
                      <w:divsChild>
                        <w:div w:id="2045400142">
                          <w:marLeft w:val="0"/>
                          <w:marRight w:val="0"/>
                          <w:marTop w:val="624"/>
                          <w:marBottom w:val="0"/>
                          <w:divBdr>
                            <w:top w:val="none" w:sz="0" w:space="0" w:color="auto"/>
                            <w:left w:val="none" w:sz="0" w:space="0" w:color="auto"/>
                            <w:bottom w:val="none" w:sz="0" w:space="0" w:color="auto"/>
                            <w:right w:val="none" w:sz="0" w:space="0" w:color="auto"/>
                          </w:divBdr>
                          <w:divsChild>
                            <w:div w:id="346447375">
                              <w:marLeft w:val="0"/>
                              <w:marRight w:val="0"/>
                              <w:marTop w:val="0"/>
                              <w:marBottom w:val="0"/>
                              <w:divBdr>
                                <w:top w:val="none" w:sz="0" w:space="0" w:color="auto"/>
                                <w:left w:val="none" w:sz="0" w:space="0" w:color="auto"/>
                                <w:bottom w:val="none" w:sz="0" w:space="0" w:color="auto"/>
                                <w:right w:val="none" w:sz="0" w:space="0" w:color="auto"/>
                              </w:divBdr>
                              <w:divsChild>
                                <w:div w:id="128136193">
                                  <w:marLeft w:val="0"/>
                                  <w:marRight w:val="0"/>
                                  <w:marTop w:val="0"/>
                                  <w:marBottom w:val="0"/>
                                  <w:divBdr>
                                    <w:top w:val="none" w:sz="0" w:space="0" w:color="auto"/>
                                    <w:left w:val="none" w:sz="0" w:space="0" w:color="auto"/>
                                    <w:bottom w:val="none" w:sz="0" w:space="0" w:color="auto"/>
                                    <w:right w:val="none" w:sz="0" w:space="0" w:color="auto"/>
                                  </w:divBdr>
                                  <w:divsChild>
                                    <w:div w:id="58287617">
                                      <w:marLeft w:val="0"/>
                                      <w:marRight w:val="0"/>
                                      <w:marTop w:val="0"/>
                                      <w:marBottom w:val="0"/>
                                      <w:divBdr>
                                        <w:top w:val="none" w:sz="0" w:space="0" w:color="auto"/>
                                        <w:left w:val="none" w:sz="0" w:space="0" w:color="auto"/>
                                        <w:bottom w:val="none" w:sz="0" w:space="0" w:color="auto"/>
                                        <w:right w:val="none" w:sz="0" w:space="0" w:color="auto"/>
                                      </w:divBdr>
                                      <w:divsChild>
                                        <w:div w:id="462041311">
                                          <w:marLeft w:val="0"/>
                                          <w:marRight w:val="0"/>
                                          <w:marTop w:val="0"/>
                                          <w:marBottom w:val="0"/>
                                          <w:divBdr>
                                            <w:top w:val="none" w:sz="0" w:space="0" w:color="auto"/>
                                            <w:left w:val="none" w:sz="0" w:space="0" w:color="auto"/>
                                            <w:bottom w:val="none" w:sz="0" w:space="0" w:color="auto"/>
                                            <w:right w:val="none" w:sz="0" w:space="0" w:color="auto"/>
                                          </w:divBdr>
                                        </w:div>
                                      </w:divsChild>
                                    </w:div>
                                    <w:div w:id="122698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RZF</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Isenberg, Anke</dc:creator>
  <cp:lastModifiedBy>Mohr, Astrid Barbara (FM, PR)</cp:lastModifiedBy>
  <cp:revision>2</cp:revision>
  <cp:lastPrinted>2018-01-23T09:45:00Z</cp:lastPrinted>
  <dcterms:created xsi:type="dcterms:W3CDTF">2018-01-29T07:42:00Z</dcterms:created>
  <dcterms:modified xsi:type="dcterms:W3CDTF">2018-01-29T07:42:00Z</dcterms:modified>
</cp:coreProperties>
</file>