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6B" w:rsidRDefault="00E3026B" w:rsidP="006B333B">
      <w:pPr>
        <w:jc w:val="center"/>
        <w:rPr>
          <w:sz w:val="18"/>
          <w:szCs w:val="18"/>
        </w:rPr>
      </w:pPr>
      <w:r w:rsidRPr="004E41C4">
        <w:rPr>
          <w:b/>
          <w:sz w:val="28"/>
          <w:szCs w:val="28"/>
        </w:rPr>
        <w:t xml:space="preserve">Eckdaten des </w:t>
      </w:r>
      <w:r>
        <w:rPr>
          <w:b/>
          <w:sz w:val="28"/>
          <w:szCs w:val="28"/>
        </w:rPr>
        <w:t>Entwurfs des Haushaltsplans</w:t>
      </w:r>
      <w:r w:rsidRPr="004E41C4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</w:p>
    <w:tbl>
      <w:tblPr>
        <w:tblStyle w:val="Tabellenraster"/>
        <w:tblpPr w:leftFromText="141" w:rightFromText="141" w:vertAnchor="text" w:horzAnchor="margin" w:tblpXSpec="center" w:tblpY="284"/>
        <w:tblW w:w="10881" w:type="dxa"/>
        <w:tblLayout w:type="fixed"/>
        <w:tblLook w:val="04A0" w:firstRow="1" w:lastRow="0" w:firstColumn="1" w:lastColumn="0" w:noHBand="0" w:noVBand="1"/>
      </w:tblPr>
      <w:tblGrid>
        <w:gridCol w:w="3227"/>
        <w:gridCol w:w="2551"/>
        <w:gridCol w:w="2551"/>
        <w:gridCol w:w="2552"/>
      </w:tblGrid>
      <w:tr w:rsidR="00952225" w:rsidTr="00952225">
        <w:tc>
          <w:tcPr>
            <w:tcW w:w="3227" w:type="dxa"/>
            <w:tcBorders>
              <w:top w:val="nil"/>
              <w:left w:val="nil"/>
            </w:tcBorders>
          </w:tcPr>
          <w:p w:rsidR="00952225" w:rsidRPr="00B84236" w:rsidRDefault="00952225" w:rsidP="00952225"/>
        </w:tc>
        <w:tc>
          <w:tcPr>
            <w:tcW w:w="2551" w:type="dxa"/>
          </w:tcPr>
          <w:p w:rsidR="00952225" w:rsidRDefault="00952225" w:rsidP="00952225">
            <w:r>
              <w:t>Haushaltsplan 2016</w:t>
            </w:r>
          </w:p>
          <w:p w:rsidR="00952225" w:rsidRDefault="00952225" w:rsidP="00952225">
            <w:r>
              <w:t xml:space="preserve">mit zweitem Nachtrag </w:t>
            </w:r>
          </w:p>
        </w:tc>
        <w:tc>
          <w:tcPr>
            <w:tcW w:w="2551" w:type="dxa"/>
          </w:tcPr>
          <w:p w:rsidR="00952225" w:rsidRDefault="00952225" w:rsidP="00952225">
            <w:r>
              <w:t>Haushalt 2017 (Stand: Entwurf ohne Ergänzung)</w:t>
            </w:r>
          </w:p>
        </w:tc>
        <w:tc>
          <w:tcPr>
            <w:tcW w:w="2552" w:type="dxa"/>
          </w:tcPr>
          <w:p w:rsidR="00952225" w:rsidRDefault="00952225" w:rsidP="00952225">
            <w:r>
              <w:t>Haushalt 2017</w:t>
            </w:r>
          </w:p>
          <w:p w:rsidR="00952225" w:rsidRDefault="00952225" w:rsidP="00952225">
            <w:r>
              <w:t>(Stand: Entwurf mit Ergänzung)</w:t>
            </w:r>
          </w:p>
        </w:tc>
      </w:tr>
      <w:tr w:rsidR="00952225" w:rsidTr="00952225">
        <w:tc>
          <w:tcPr>
            <w:tcW w:w="3227" w:type="dxa"/>
          </w:tcPr>
          <w:p w:rsidR="00952225" w:rsidRPr="00B84236" w:rsidRDefault="00952225" w:rsidP="00952225">
            <w:r w:rsidRPr="00B84236">
              <w:t>Ausgaben lt. Haushaltsplan</w:t>
            </w:r>
          </w:p>
        </w:tc>
        <w:tc>
          <w:tcPr>
            <w:tcW w:w="2551" w:type="dxa"/>
          </w:tcPr>
          <w:p w:rsidR="00952225" w:rsidRDefault="00952225" w:rsidP="00952225">
            <w:r>
              <w:t xml:space="preserve">69,95 </w:t>
            </w:r>
            <w:bookmarkStart w:id="0" w:name="_GoBack"/>
            <w:bookmarkEnd w:id="0"/>
            <w:r>
              <w:t>Milliarden Euro</w:t>
            </w:r>
          </w:p>
        </w:tc>
        <w:tc>
          <w:tcPr>
            <w:tcW w:w="2551" w:type="dxa"/>
          </w:tcPr>
          <w:p w:rsidR="00952225" w:rsidRDefault="00952225" w:rsidP="00952225">
            <w:r>
              <w:t>72,3 Milliarden Euro</w:t>
            </w:r>
          </w:p>
        </w:tc>
        <w:tc>
          <w:tcPr>
            <w:tcW w:w="2552" w:type="dxa"/>
          </w:tcPr>
          <w:p w:rsidR="00952225" w:rsidRDefault="00952225" w:rsidP="00952225">
            <w:r>
              <w:t>72,7 Milliarden Euro</w:t>
            </w:r>
          </w:p>
        </w:tc>
      </w:tr>
      <w:tr w:rsidR="00952225" w:rsidTr="00952225">
        <w:tc>
          <w:tcPr>
            <w:tcW w:w="3227" w:type="dxa"/>
          </w:tcPr>
          <w:p w:rsidR="00952225" w:rsidRDefault="00952225" w:rsidP="00952225">
            <w:pPr>
              <w:jc w:val="both"/>
            </w:pPr>
            <w:r>
              <w:t>Steuereinnahmen</w:t>
            </w:r>
          </w:p>
        </w:tc>
        <w:tc>
          <w:tcPr>
            <w:tcW w:w="2551" w:type="dxa"/>
          </w:tcPr>
          <w:p w:rsidR="00952225" w:rsidRDefault="00952225" w:rsidP="00952225">
            <w:r>
              <w:t>52,7 Milliarden Euro</w:t>
            </w:r>
          </w:p>
        </w:tc>
        <w:tc>
          <w:tcPr>
            <w:tcW w:w="2551" w:type="dxa"/>
          </w:tcPr>
          <w:p w:rsidR="00952225" w:rsidRDefault="00952225" w:rsidP="00952225">
            <w:r>
              <w:t>54,6 Milliarden Euro</w:t>
            </w:r>
          </w:p>
        </w:tc>
        <w:tc>
          <w:tcPr>
            <w:tcW w:w="2552" w:type="dxa"/>
          </w:tcPr>
          <w:p w:rsidR="00952225" w:rsidRDefault="00952225" w:rsidP="00952225">
            <w:r>
              <w:t>55,0 Milliarden Euro</w:t>
            </w:r>
          </w:p>
        </w:tc>
      </w:tr>
      <w:tr w:rsidR="00952225" w:rsidTr="00952225">
        <w:tc>
          <w:tcPr>
            <w:tcW w:w="3227" w:type="dxa"/>
          </w:tcPr>
          <w:p w:rsidR="00952225" w:rsidRDefault="00952225" w:rsidP="00952225">
            <w:r>
              <w:t>Sonstige Einnahmen (ohne Schuldenaufnahme)</w:t>
            </w:r>
          </w:p>
        </w:tc>
        <w:tc>
          <w:tcPr>
            <w:tcW w:w="2551" w:type="dxa"/>
          </w:tcPr>
          <w:p w:rsidR="00952225" w:rsidRDefault="00952225" w:rsidP="00952225">
            <w:r>
              <w:t>15, 3 Milliarden Euro</w:t>
            </w:r>
          </w:p>
        </w:tc>
        <w:tc>
          <w:tcPr>
            <w:tcW w:w="2551" w:type="dxa"/>
          </w:tcPr>
          <w:p w:rsidR="00952225" w:rsidRDefault="00952225" w:rsidP="00952225">
            <w:r>
              <w:t>15,9 Milliarden Euro</w:t>
            </w:r>
          </w:p>
        </w:tc>
        <w:tc>
          <w:tcPr>
            <w:tcW w:w="2552" w:type="dxa"/>
          </w:tcPr>
          <w:p w:rsidR="00952225" w:rsidRDefault="00952225" w:rsidP="00952225">
            <w:r>
              <w:t>16,0 Milliarden Euro</w:t>
            </w:r>
          </w:p>
        </w:tc>
      </w:tr>
      <w:tr w:rsidR="00952225" w:rsidTr="00952225">
        <w:tc>
          <w:tcPr>
            <w:tcW w:w="3227" w:type="dxa"/>
          </w:tcPr>
          <w:p w:rsidR="00952225" w:rsidRDefault="00952225" w:rsidP="00952225">
            <w:r>
              <w:t>Personalausgaben</w:t>
            </w:r>
          </w:p>
        </w:tc>
        <w:tc>
          <w:tcPr>
            <w:tcW w:w="2551" w:type="dxa"/>
          </w:tcPr>
          <w:p w:rsidR="00952225" w:rsidRDefault="00952225" w:rsidP="00952225">
            <w:r>
              <w:t>25,3 Milliarden Euro</w:t>
            </w:r>
          </w:p>
        </w:tc>
        <w:tc>
          <w:tcPr>
            <w:tcW w:w="2551" w:type="dxa"/>
          </w:tcPr>
          <w:p w:rsidR="00952225" w:rsidRDefault="00952225" w:rsidP="00952225">
            <w:r>
              <w:t>26,6 Milliarden Euro</w:t>
            </w:r>
          </w:p>
        </w:tc>
        <w:tc>
          <w:tcPr>
            <w:tcW w:w="2552" w:type="dxa"/>
          </w:tcPr>
          <w:p w:rsidR="00952225" w:rsidRDefault="00952225" w:rsidP="00952225">
            <w:r>
              <w:t>26,5 Milliarden Euro</w:t>
            </w:r>
          </w:p>
        </w:tc>
      </w:tr>
      <w:tr w:rsidR="00952225" w:rsidTr="00952225">
        <w:tc>
          <w:tcPr>
            <w:tcW w:w="3227" w:type="dxa"/>
          </w:tcPr>
          <w:p w:rsidR="00952225" w:rsidRDefault="00952225" w:rsidP="00952225">
            <w:r>
              <w:t>Personalausgabenquote</w:t>
            </w:r>
          </w:p>
        </w:tc>
        <w:tc>
          <w:tcPr>
            <w:tcW w:w="2551" w:type="dxa"/>
          </w:tcPr>
          <w:p w:rsidR="00952225" w:rsidRDefault="00952225" w:rsidP="00952225">
            <w:r>
              <w:t>36,2 Prozent</w:t>
            </w:r>
          </w:p>
        </w:tc>
        <w:tc>
          <w:tcPr>
            <w:tcW w:w="2551" w:type="dxa"/>
          </w:tcPr>
          <w:p w:rsidR="00952225" w:rsidRDefault="00952225" w:rsidP="00952225">
            <w:r>
              <w:t>36,8 Prozent</w:t>
            </w:r>
          </w:p>
        </w:tc>
        <w:tc>
          <w:tcPr>
            <w:tcW w:w="2552" w:type="dxa"/>
          </w:tcPr>
          <w:p w:rsidR="00952225" w:rsidRDefault="00952225" w:rsidP="00952225">
            <w:r>
              <w:t>36,5 Prozent</w:t>
            </w:r>
          </w:p>
        </w:tc>
      </w:tr>
      <w:tr w:rsidR="00952225" w:rsidTr="00952225">
        <w:tc>
          <w:tcPr>
            <w:tcW w:w="3227" w:type="dxa"/>
          </w:tcPr>
          <w:p w:rsidR="00952225" w:rsidRDefault="00952225" w:rsidP="00952225">
            <w:r>
              <w:t>Nettoneuverschuldung</w:t>
            </w:r>
          </w:p>
        </w:tc>
        <w:tc>
          <w:tcPr>
            <w:tcW w:w="2551" w:type="dxa"/>
          </w:tcPr>
          <w:p w:rsidR="00952225" w:rsidRDefault="00952225" w:rsidP="00952225">
            <w:r>
              <w:t>1,8 Milliarden Euro</w:t>
            </w:r>
          </w:p>
        </w:tc>
        <w:tc>
          <w:tcPr>
            <w:tcW w:w="2551" w:type="dxa"/>
          </w:tcPr>
          <w:p w:rsidR="00952225" w:rsidRDefault="00952225" w:rsidP="00952225">
            <w:r>
              <w:t>1,6 Milliarden Euro</w:t>
            </w:r>
          </w:p>
        </w:tc>
        <w:tc>
          <w:tcPr>
            <w:tcW w:w="2552" w:type="dxa"/>
          </w:tcPr>
          <w:p w:rsidR="00952225" w:rsidRDefault="00952225" w:rsidP="00952225">
            <w:r>
              <w:t>1,6 Milliarden Euro</w:t>
            </w:r>
          </w:p>
        </w:tc>
      </w:tr>
    </w:tbl>
    <w:p w:rsidR="00E3026B" w:rsidRDefault="00E3026B" w:rsidP="007E7D26">
      <w:pPr>
        <w:rPr>
          <w:sz w:val="18"/>
          <w:szCs w:val="18"/>
        </w:rPr>
      </w:pPr>
    </w:p>
    <w:p w:rsidR="00E3026B" w:rsidRDefault="00E3026B" w:rsidP="007E7D26">
      <w:pPr>
        <w:rPr>
          <w:sz w:val="18"/>
          <w:szCs w:val="18"/>
        </w:rPr>
      </w:pPr>
    </w:p>
    <w:sectPr w:rsidR="00E302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04382"/>
    <w:multiLevelType w:val="hybridMultilevel"/>
    <w:tmpl w:val="218C62BC"/>
    <w:lvl w:ilvl="0" w:tplc="6944AB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4C5C93"/>
    <w:multiLevelType w:val="hybridMultilevel"/>
    <w:tmpl w:val="9D149D2E"/>
    <w:lvl w:ilvl="0" w:tplc="15C8F1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04467"/>
    <w:multiLevelType w:val="hybridMultilevel"/>
    <w:tmpl w:val="4B16DABA"/>
    <w:lvl w:ilvl="0" w:tplc="84BC91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69"/>
    <w:rsid w:val="000451C3"/>
    <w:rsid w:val="000E74F1"/>
    <w:rsid w:val="001736E3"/>
    <w:rsid w:val="001C2C90"/>
    <w:rsid w:val="00207234"/>
    <w:rsid w:val="00207240"/>
    <w:rsid w:val="002172F2"/>
    <w:rsid w:val="002319E9"/>
    <w:rsid w:val="002A6232"/>
    <w:rsid w:val="002C715E"/>
    <w:rsid w:val="0033265F"/>
    <w:rsid w:val="003A1A6F"/>
    <w:rsid w:val="003B0301"/>
    <w:rsid w:val="003D155B"/>
    <w:rsid w:val="003F4910"/>
    <w:rsid w:val="00460807"/>
    <w:rsid w:val="004E1A38"/>
    <w:rsid w:val="004E41C4"/>
    <w:rsid w:val="004F49F4"/>
    <w:rsid w:val="00503E37"/>
    <w:rsid w:val="00564573"/>
    <w:rsid w:val="0058530F"/>
    <w:rsid w:val="005B6E38"/>
    <w:rsid w:val="00677F8A"/>
    <w:rsid w:val="006B333B"/>
    <w:rsid w:val="006E51DC"/>
    <w:rsid w:val="00720F13"/>
    <w:rsid w:val="00784C33"/>
    <w:rsid w:val="007D5CD0"/>
    <w:rsid w:val="007E7D26"/>
    <w:rsid w:val="00815B33"/>
    <w:rsid w:val="008A351C"/>
    <w:rsid w:val="008A55A9"/>
    <w:rsid w:val="00912269"/>
    <w:rsid w:val="00952225"/>
    <w:rsid w:val="009D4490"/>
    <w:rsid w:val="00A24AEC"/>
    <w:rsid w:val="00A805B6"/>
    <w:rsid w:val="00AE6614"/>
    <w:rsid w:val="00B36CED"/>
    <w:rsid w:val="00B84236"/>
    <w:rsid w:val="00C35736"/>
    <w:rsid w:val="00C77EBF"/>
    <w:rsid w:val="00CA4C6D"/>
    <w:rsid w:val="00CC564D"/>
    <w:rsid w:val="00CD2314"/>
    <w:rsid w:val="00CE17D1"/>
    <w:rsid w:val="00CF26A7"/>
    <w:rsid w:val="00D417DB"/>
    <w:rsid w:val="00D632DF"/>
    <w:rsid w:val="00D97A2F"/>
    <w:rsid w:val="00E22F3A"/>
    <w:rsid w:val="00E3026B"/>
    <w:rsid w:val="00E800C4"/>
    <w:rsid w:val="00FB2DEC"/>
    <w:rsid w:val="00FB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2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1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1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Langer, Peter (FM)</dc:creator>
  <cp:lastModifiedBy>Langer, Peter (FM, PR)</cp:lastModifiedBy>
  <cp:revision>2</cp:revision>
  <cp:lastPrinted>2015-11-10T10:05:00Z</cp:lastPrinted>
  <dcterms:created xsi:type="dcterms:W3CDTF">2016-11-08T10:24:00Z</dcterms:created>
  <dcterms:modified xsi:type="dcterms:W3CDTF">2016-11-08T10:24:00Z</dcterms:modified>
</cp:coreProperties>
</file>